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79B" w14:textId="77777777" w:rsidR="00385019" w:rsidRPr="002F78A0" w:rsidRDefault="00385019" w:rsidP="001D487A">
      <w:pPr>
        <w:spacing w:after="0" w:line="360" w:lineRule="auto"/>
        <w:jc w:val="center"/>
        <w:rPr>
          <w:rFonts w:eastAsia="Times New Roman"/>
          <w:b/>
        </w:rPr>
      </w:pPr>
      <w:r w:rsidRPr="002F78A0">
        <w:rPr>
          <w:rFonts w:eastAsia="Times New Roman"/>
          <w:b/>
        </w:rPr>
        <w:t>OŚWIADCZENIE O ZACHOWANIU POUFNOŚCI</w:t>
      </w:r>
    </w:p>
    <w:p w14:paraId="33BB00AE" w14:textId="77777777" w:rsidR="00385019" w:rsidRPr="002F78A0" w:rsidRDefault="00385019" w:rsidP="001D487A">
      <w:pPr>
        <w:spacing w:after="0" w:line="360" w:lineRule="auto"/>
        <w:jc w:val="center"/>
        <w:rPr>
          <w:rFonts w:eastAsia="Times New Roman"/>
        </w:rPr>
      </w:pPr>
      <w:r w:rsidRPr="002F78A0">
        <w:rPr>
          <w:rFonts w:eastAsia="Times New Roman"/>
        </w:rPr>
        <w:t>z dnia ………………… 202</w:t>
      </w:r>
      <w:r w:rsidR="00EA2BF0" w:rsidRPr="002F78A0">
        <w:rPr>
          <w:rFonts w:eastAsia="Times New Roman"/>
        </w:rPr>
        <w:t>1</w:t>
      </w:r>
      <w:r w:rsidRPr="002F78A0">
        <w:rPr>
          <w:rFonts w:eastAsia="Times New Roman"/>
        </w:rPr>
        <w:t xml:space="preserve"> r.</w:t>
      </w:r>
    </w:p>
    <w:p w14:paraId="2815D23A" w14:textId="77777777" w:rsidR="00385019" w:rsidRPr="002F78A0" w:rsidRDefault="00385019" w:rsidP="001D487A">
      <w:pPr>
        <w:spacing w:after="0" w:line="360" w:lineRule="auto"/>
        <w:jc w:val="center"/>
        <w:rPr>
          <w:rFonts w:eastAsia="Times New Roman"/>
        </w:rPr>
      </w:pPr>
    </w:p>
    <w:p w14:paraId="682ECBB1" w14:textId="77777777" w:rsidR="00385019" w:rsidRPr="002F78A0" w:rsidRDefault="00385019" w:rsidP="001D487A">
      <w:pPr>
        <w:spacing w:after="0" w:line="360" w:lineRule="auto"/>
        <w:jc w:val="center"/>
        <w:rPr>
          <w:rFonts w:eastAsia="Times New Roman"/>
        </w:rPr>
      </w:pPr>
      <w:r w:rsidRPr="002F78A0">
        <w:rPr>
          <w:rFonts w:eastAsia="Times New Roman"/>
        </w:rPr>
        <w:t xml:space="preserve">(dalej: </w:t>
      </w:r>
      <w:r w:rsidRPr="002F78A0">
        <w:rPr>
          <w:rFonts w:eastAsia="Times New Roman"/>
          <w:b/>
        </w:rPr>
        <w:t>Oświadczenie</w:t>
      </w:r>
      <w:r w:rsidRPr="002F78A0">
        <w:rPr>
          <w:rFonts w:eastAsia="Times New Roman"/>
        </w:rPr>
        <w:t>)</w:t>
      </w:r>
    </w:p>
    <w:p w14:paraId="20CBDC44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</w:rPr>
      </w:pPr>
      <w:r w:rsidRPr="002F78A0">
        <w:rPr>
          <w:rFonts w:eastAsia="Tahoma"/>
        </w:rPr>
        <w:t>……………………………………………………………………………………………………………………………………</w:t>
      </w:r>
    </w:p>
    <w:p w14:paraId="47CDE336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</w:rPr>
      </w:pPr>
      <w:r w:rsidRPr="002F78A0">
        <w:rPr>
          <w:rFonts w:eastAsia="Times New Roman"/>
        </w:rPr>
        <w:t>reprezentowana przez ……………………………………………</w:t>
      </w:r>
    </w:p>
    <w:p w14:paraId="40926589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</w:rPr>
      </w:pPr>
    </w:p>
    <w:p w14:paraId="4B4E0738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  <w:b/>
        </w:rPr>
      </w:pPr>
      <w:r w:rsidRPr="002F78A0">
        <w:rPr>
          <w:rFonts w:eastAsia="Times New Roman"/>
        </w:rPr>
        <w:t xml:space="preserve">zwana dalej </w:t>
      </w:r>
      <w:r w:rsidRPr="002F78A0">
        <w:rPr>
          <w:rFonts w:eastAsia="Times New Roman"/>
          <w:b/>
        </w:rPr>
        <w:t>Odbiorcą</w:t>
      </w:r>
      <w:r w:rsidRPr="002F78A0">
        <w:rPr>
          <w:rFonts w:eastAsia="Times New Roman"/>
        </w:rPr>
        <w:t>,</w:t>
      </w:r>
    </w:p>
    <w:p w14:paraId="0B77D001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  <w:b/>
        </w:rPr>
      </w:pPr>
    </w:p>
    <w:p w14:paraId="0E7375FB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</w:rPr>
      </w:pPr>
      <w:r w:rsidRPr="002F78A0">
        <w:rPr>
          <w:rFonts w:eastAsia="Times New Roman"/>
        </w:rPr>
        <w:t>niniejszym oświadcza, co następuje:</w:t>
      </w:r>
    </w:p>
    <w:p w14:paraId="7E81D9D3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</w:rPr>
      </w:pPr>
    </w:p>
    <w:p w14:paraId="568E63F8" w14:textId="77777777" w:rsidR="00385019" w:rsidRPr="00214F5E" w:rsidRDefault="00385019" w:rsidP="00214F5E">
      <w:pPr>
        <w:tabs>
          <w:tab w:val="left" w:pos="4995"/>
        </w:tabs>
        <w:spacing w:line="360" w:lineRule="auto"/>
        <w:ind w:right="176"/>
        <w:rPr>
          <w:rFonts w:eastAsia="Tahoma"/>
        </w:rPr>
      </w:pPr>
      <w:r w:rsidRPr="002F78A0">
        <w:rPr>
          <w:rFonts w:eastAsia="Times New Roman"/>
        </w:rPr>
        <w:t xml:space="preserve">Zważywszy, że </w:t>
      </w:r>
      <w:r w:rsidR="002F78A0" w:rsidRPr="002F78A0">
        <w:rPr>
          <w:rFonts w:eastAsia="Times New Roman"/>
        </w:rPr>
        <w:t>Zamawiający</w:t>
      </w:r>
      <w:r w:rsidR="00214F5E" w:rsidRPr="00214F5E">
        <w:rPr>
          <w:rFonts w:eastAsia="Tahoma"/>
        </w:rPr>
        <w:t xml:space="preserve"> </w:t>
      </w:r>
      <w:r w:rsidR="00214F5E">
        <w:rPr>
          <w:rFonts w:eastAsia="Tahoma"/>
        </w:rPr>
        <w:t>OPERATOR ARP SP.Z O.O. ul. Świętojerska 5/7, 00-235 Warszawa, działając w imieniu i na rzecz</w:t>
      </w:r>
      <w:r w:rsidR="002F78A0" w:rsidRPr="002F78A0">
        <w:rPr>
          <w:rFonts w:eastAsia="Times New Roman"/>
        </w:rPr>
        <w:t xml:space="preserve"> FABRYKA – PORTA MARE Spółka z ograniczoną odpowiedzialnością w Elblągu, ul. Stanisława Sulimy nr 1, lok. 226, 82-300 Elbląg</w:t>
      </w:r>
      <w:r w:rsidRPr="002F78A0">
        <w:rPr>
          <w:rFonts w:eastAsia="Times New Roman"/>
        </w:rPr>
        <w:t xml:space="preserve"> (dalej również: Ujawniający) przekazuje Odbiorcy – pod warunkiem podpisania przez Odbiorcę niniejszego oświadczenia - informacje i dokumenty dotyczące pośrednio lub bezpośrednio zadania inwestycyjnego: „</w:t>
      </w:r>
      <w:r w:rsidR="002F78A0" w:rsidRPr="002F78A0">
        <w:rPr>
          <w:b/>
        </w:rPr>
        <w:t>Budowa budynku biurowo-usługowego na Wyspie Spichrzów w Elblągu przy ul. Warszawskiej, na działkach o numerach 207/2; 220/7; 220/10; 220/5</w:t>
      </w:r>
      <w:r w:rsidRPr="002F78A0">
        <w:rPr>
          <w:rFonts w:eastAsia="Times New Roman"/>
        </w:rPr>
        <w:t>”, w szczególności dokumenty i informacje</w:t>
      </w:r>
      <w:r w:rsidRPr="002F78A0">
        <w:rPr>
          <w:bCs/>
          <w:lang w:eastAsia="pl-PL"/>
        </w:rPr>
        <w:t>:</w:t>
      </w:r>
    </w:p>
    <w:p w14:paraId="2F9E05B9" w14:textId="77777777" w:rsidR="00385019" w:rsidRPr="002F78A0" w:rsidRDefault="00385019" w:rsidP="001D487A">
      <w:pPr>
        <w:spacing w:after="0" w:line="360" w:lineRule="auto"/>
        <w:ind w:left="360"/>
        <w:jc w:val="both"/>
        <w:rPr>
          <w:rFonts w:eastAsia="Times New Roman"/>
        </w:rPr>
      </w:pPr>
      <w:r w:rsidRPr="002F78A0">
        <w:rPr>
          <w:bCs/>
          <w:lang w:eastAsia="pl-PL"/>
        </w:rPr>
        <w:t>- o charakterze technicznym, technologiczny</w:t>
      </w:r>
      <w:r w:rsidRPr="002F78A0">
        <w:rPr>
          <w:rFonts w:eastAsia="Times New Roman"/>
        </w:rPr>
        <w:t>m, handlowym, prawnym, inwestycyjnym lub organizacyjnym, jak również informacji odnoszących się do jej strategii, spraw finansowych lub przyszłych planów lub perspektyw dotyczące ww. inwestycji i Ujawniającego oraz jego kontrahentów,</w:t>
      </w:r>
    </w:p>
    <w:p w14:paraId="5C4E61DF" w14:textId="77777777" w:rsidR="00385019" w:rsidRPr="002F78A0" w:rsidRDefault="00385019" w:rsidP="001D487A">
      <w:pPr>
        <w:spacing w:after="0" w:line="360" w:lineRule="auto"/>
        <w:ind w:left="360"/>
        <w:jc w:val="both"/>
        <w:rPr>
          <w:rFonts w:eastAsia="Times New Roman"/>
          <w:b/>
        </w:rPr>
      </w:pPr>
      <w:r w:rsidRPr="002F78A0">
        <w:rPr>
          <w:rFonts w:eastAsia="Times New Roman"/>
        </w:rPr>
        <w:t xml:space="preserve">- niezależnie od tego, czy informacje te są w formie pisemnej, ustnej czy w jakiejkolwiek innej formie, w tym elektronicznej, jak również niezależnie od tego, czy informacje te, lub dokumenty są wyraźnie oznaczone jako poufne (dalej: </w:t>
      </w:r>
      <w:r w:rsidRPr="002F78A0">
        <w:rPr>
          <w:rFonts w:eastAsia="Times New Roman"/>
          <w:b/>
        </w:rPr>
        <w:t>Informacje Poufne</w:t>
      </w:r>
      <w:r w:rsidRPr="002F78A0">
        <w:rPr>
          <w:rFonts w:eastAsia="Times New Roman"/>
        </w:rPr>
        <w:t xml:space="preserve">). Za Informacje Poufne będą uważane również wszelkie informacje uzyskane przez Odbiorcę w ramach współpracy z Ujawniającym w zakresie ww. zadania inwestycyjnego. </w:t>
      </w:r>
    </w:p>
    <w:p w14:paraId="460D95C8" w14:textId="2858228F" w:rsidR="00385019" w:rsidRPr="002F78A0" w:rsidRDefault="00385019" w:rsidP="001D487A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</w:rPr>
        <w:t xml:space="preserve">Odbiorca zobowiązuje się do zachowania w pełnej poufności wszelkich Informacji Poufnych, przekazanych przez Ujawniającego lub przez osoby przez niego upoważnione. Informacje te będą chronione zgodnie z najwyższymi profesjonalnymi standardami i co najmniej w taki sam sposób, z zachowaniem takich samych standardów i środków ochrony jak chroni swoje informacje poufne o podobnym znaczeniu i zgodnie z </w:t>
      </w:r>
      <w:r w:rsidRPr="002F78A0">
        <w:rPr>
          <w:rFonts w:eastAsia="Times New Roman"/>
        </w:rPr>
        <w:lastRenderedPageBreak/>
        <w:t>obowiązującymi przepisami i Odbiorca podejmie wszelkie niezbędne działania mające na celu zabezpieczenie Informacji Poufnych przed dostępem osób i podmiotów do tego nie upoważnionych. W celu uniknięcia jakichkolwiek wątpliwości, Odbiorca oświadcza, iż zobowiązuje się do nieujawniania w jakikolwiek sposób Informacji Poufnych osobom trzecim, niezgodnie z p. 4 poniżej ani nie</w:t>
      </w:r>
      <w:r w:rsidR="00DB7CC9">
        <w:rPr>
          <w:rFonts w:eastAsia="Times New Roman"/>
        </w:rPr>
        <w:t xml:space="preserve"> </w:t>
      </w:r>
      <w:r w:rsidRPr="002F78A0">
        <w:rPr>
          <w:rFonts w:eastAsia="Times New Roman"/>
        </w:rPr>
        <w:t xml:space="preserve">wykorzystywania Informacji Poufnych w ramach własnej działalności gospodarczej lub działalności gospodarczej prowadzonej na rzecz innych osób. </w:t>
      </w:r>
    </w:p>
    <w:p w14:paraId="1237F778" w14:textId="77777777" w:rsidR="00385019" w:rsidRPr="002F78A0" w:rsidRDefault="00385019" w:rsidP="001D487A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eastAsia="Times New Roman"/>
          <w:kern w:val="0"/>
          <w:lang w:eastAsia="pl-PL"/>
        </w:rPr>
      </w:pPr>
      <w:r w:rsidRPr="002F78A0">
        <w:rPr>
          <w:rFonts w:eastAsia="Times New Roman"/>
          <w:kern w:val="0"/>
          <w:shd w:val="clear" w:color="auto" w:fill="FFFFFF"/>
          <w:lang w:eastAsia="pl-PL"/>
        </w:rPr>
        <w:t>Ujawniający oraz Odbiorca potwierdzają, że wszelkie Informacje Poufne stanowią i pozostają własnością Ujawniającego lub jego spółek powiązanych lub jego kontrahentów oraz stanowią tajemnicę ich przedsiębiorstwa, w rozumieniu przepisów ustawy z dnia 16 kwietnia 1993 roku o zwalczaniu nieuczciwej konkurencji.</w:t>
      </w:r>
    </w:p>
    <w:p w14:paraId="081D79F5" w14:textId="77777777" w:rsidR="00385019" w:rsidRPr="002F78A0" w:rsidRDefault="00385019" w:rsidP="001D487A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</w:rPr>
        <w:t>Nie stanowią Informacji Poufnych informacje, co do których Odbiorca udowodni, że:</w:t>
      </w:r>
    </w:p>
    <w:p w14:paraId="6DDC6ACB" w14:textId="77777777" w:rsidR="00385019" w:rsidRPr="002F78A0" w:rsidRDefault="00385019" w:rsidP="001D487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</w:rPr>
      </w:pPr>
      <w:r w:rsidRPr="002F78A0">
        <w:rPr>
          <w:rFonts w:eastAsia="Times New Roman"/>
        </w:rPr>
        <w:t xml:space="preserve"> są lub stały się one publicznie znane,</w:t>
      </w:r>
    </w:p>
    <w:p w14:paraId="3BF9CFD4" w14:textId="77777777" w:rsidR="00385019" w:rsidRPr="002F78A0" w:rsidRDefault="00385019" w:rsidP="001D487A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</w:rPr>
      </w:pPr>
      <w:r w:rsidRPr="002F78A0">
        <w:rPr>
          <w:rFonts w:eastAsia="Times New Roman"/>
        </w:rPr>
        <w:t>ich ujawnienie jest wymagane na podstawie bezwzględnie obowiązujących przepisów prawa – w takim przypadku Odbiorca zobowiązuje się powiadomić Ujawniającego niezwłocznie o każdym obowiązku ujawnienia Informacji Poufnych.</w:t>
      </w:r>
    </w:p>
    <w:p w14:paraId="79A6C903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before="24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  <w:lang w:eastAsia="pl-PL"/>
        </w:rPr>
        <w:t>Odbiorca zobowiązuje się korzystać z Informacji Poufnych wyłącznie w celu prawidłowego oraz zgodnego z obowiązującymi przepisami prawa przygotowania Oferty dla potrzeb realizacji zadania inwestycyjnego, o którym mowa na wstępie niniejszego dokumentu i nie będzie wykorzystywać Informacji Poufnych w żadnych innych celach.</w:t>
      </w:r>
    </w:p>
    <w:p w14:paraId="0E7A5F7F" w14:textId="58329EB7" w:rsidR="00385019" w:rsidRPr="002F78A0" w:rsidRDefault="00385019" w:rsidP="001D487A">
      <w:pPr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  <w:lang w:eastAsia="pl-PL"/>
        </w:rPr>
        <w:t xml:space="preserve">Informacje Poufne zostaną utrzymane w poufności i pozostaną nieujawnione wobec osób trzecich, bez wcześniejszego uzyskania pisemnej zgody Ujawniającego, za wyjątkiem osób współpracujących z Odbiorcą, które to osoby: </w:t>
      </w:r>
    </w:p>
    <w:p w14:paraId="07AE31BB" w14:textId="77777777" w:rsidR="00385019" w:rsidRPr="002F78A0" w:rsidRDefault="00385019" w:rsidP="001D487A">
      <w:pPr>
        <w:numPr>
          <w:ilvl w:val="0"/>
          <w:numId w:val="3"/>
        </w:numPr>
        <w:suppressAutoHyphens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 w:rsidRPr="002F78A0">
        <w:rPr>
          <w:rFonts w:eastAsia="Times New Roman"/>
          <w:lang w:eastAsia="pl-PL"/>
        </w:rPr>
        <w:t>będą brały udział w przygotowaniu Oferty dla potrzeb realizacji zadania inwestycyjnego, o którym mowa na wstępie niniejszego dokumentu, w zakresie jedynie potrzebnym do przygotowania tej Oferty; oraz</w:t>
      </w:r>
    </w:p>
    <w:p w14:paraId="40B674F4" w14:textId="77777777" w:rsidR="00385019" w:rsidRPr="002F78A0" w:rsidRDefault="00385019" w:rsidP="001D487A">
      <w:pPr>
        <w:numPr>
          <w:ilvl w:val="0"/>
          <w:numId w:val="3"/>
        </w:numPr>
        <w:suppressAutoHyphens w:val="0"/>
        <w:spacing w:after="0" w:line="360" w:lineRule="auto"/>
        <w:ind w:left="709" w:hanging="283"/>
        <w:jc w:val="both"/>
        <w:rPr>
          <w:rFonts w:eastAsia="Times New Roman"/>
        </w:rPr>
      </w:pPr>
      <w:r w:rsidRPr="002F78A0">
        <w:rPr>
          <w:rFonts w:eastAsia="Times New Roman"/>
          <w:lang w:eastAsia="pl-PL"/>
        </w:rPr>
        <w:t xml:space="preserve"> zostaną poinformowane przez Odbiorcę o poufnym charakterze Informacji Poufnych oraz po wcześniejszym zobowiązaniu tych osób na piśmie do zachowania w poufności Informacji Poufnych na zasadach i warunkach analogicznych jak określone w niniejszym dokumencie, a Ujawniający będzie miał prawo wglądu do tych oświadczeń w każdym czasie.</w:t>
      </w:r>
    </w:p>
    <w:p w14:paraId="32B179F3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  <w:lang w:eastAsia="pl-PL"/>
        </w:rPr>
        <w:lastRenderedPageBreak/>
        <w:t>Obowiązek zachowania w tajemnicy Informacji Poufnych, obejmuje wszystkie uzyskane przez Odbiorcę od Ujawniającego lub osób przez niego upoważnionych informacje w związku z zadaniem inwestycyjnym, o którym mowa na wstępie tego dokumentu oraz przygotowywaną przez Odbiorcę Ofertą co do ww. zadania inwestycyjnego niezależnie od ich formy lub sposobu utrwalenia lub uzyskania.</w:t>
      </w:r>
    </w:p>
    <w:p w14:paraId="5DA039CA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before="240" w:after="0" w:line="360" w:lineRule="auto"/>
        <w:ind w:left="426"/>
        <w:jc w:val="both"/>
        <w:rPr>
          <w:rFonts w:eastAsia="Times New Roman"/>
        </w:rPr>
      </w:pPr>
      <w:r w:rsidRPr="002F78A0">
        <w:rPr>
          <w:rFonts w:eastAsia="Times New Roman"/>
          <w:lang w:eastAsia="pl-PL"/>
        </w:rPr>
        <w:t xml:space="preserve">Odbiorca ponosi odpowiedzialność za naruszenie niniejszego obowiązku zachowania w tajemnicy Informacji Poufnych. Odbiorca ponosi również odpowiedzialność jak za własne działania i zaniechania za naruszenie obowiązku zachowania w tajemnicy Informacji Poufnych przez swoich pracowników lub współpracowników lub inne osoby albo podmioty działające w jego imieniu lub na jego zlecenie w tym także osoby z grona poddostawców i podwykonawców pracujących lub współpracujących z Odbiorcą. Wobec czego Odbiorca zobowiązuje się pokryć wszelkie szkody poniesione przez Ujawniającego i/lub jego kontrahentów w związku z naruszeniem tego zobowiązania. </w:t>
      </w:r>
    </w:p>
    <w:p w14:paraId="66D5E468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before="240" w:after="0" w:line="360" w:lineRule="auto"/>
        <w:ind w:left="426"/>
        <w:jc w:val="both"/>
      </w:pPr>
      <w:r w:rsidRPr="002F78A0">
        <w:rPr>
          <w:bCs/>
        </w:rPr>
        <w:t>Ujawniający może w każdym czasie zażądać od Odbiorcy zniszczenia, usunięcia lub zwrotu jakichkolwiek lub wszelkich przekazanych lub udostępnionych Informacji Poufnych wraz z nośnikami, na których zostały utrwalone oraz wszystkimi ich kopiami oraz zakazać ich dalszego wykorzystywania.</w:t>
      </w:r>
    </w:p>
    <w:p w14:paraId="36A84472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before="240" w:after="0" w:line="360" w:lineRule="auto"/>
        <w:ind w:left="426"/>
        <w:jc w:val="both"/>
      </w:pPr>
      <w:r w:rsidRPr="002F78A0">
        <w:rPr>
          <w:bCs/>
        </w:rPr>
        <w:t>W sprawach nieunormowanych w niniejszym Oświadczeniu zastosowanie mieć będą przepisy obowiązującego prawa polskiego a w szczególności Kodeksu Cywilnego i ustawy z dnia 16 kwietnia 1993 r. o zwalczaniu nieuczciwej konkurencji.</w:t>
      </w:r>
    </w:p>
    <w:p w14:paraId="70569B02" w14:textId="77777777" w:rsidR="00385019" w:rsidRPr="002F78A0" w:rsidRDefault="00385019" w:rsidP="001D487A">
      <w:pPr>
        <w:numPr>
          <w:ilvl w:val="0"/>
          <w:numId w:val="1"/>
        </w:numPr>
        <w:suppressAutoHyphens w:val="0"/>
        <w:spacing w:before="240" w:after="0" w:line="360" w:lineRule="auto"/>
        <w:ind w:left="426"/>
        <w:jc w:val="both"/>
        <w:rPr>
          <w:rFonts w:eastAsia="Times New Roman"/>
          <w:kern w:val="0"/>
          <w:lang w:eastAsia="pl-PL"/>
        </w:rPr>
      </w:pPr>
      <w:r w:rsidRPr="002F78A0">
        <w:rPr>
          <w:rFonts w:eastAsia="Times New Roman"/>
          <w:kern w:val="0"/>
          <w:lang w:eastAsia="pl-PL"/>
        </w:rPr>
        <w:t xml:space="preserve">Obowiązek postępowania z Informacjami Poufnymi w sposób określony w niniejszym Oświadczeniu trwa także po zakończeniu współpracy przez Ujawniającego i Odbiorcę </w:t>
      </w:r>
      <w:r w:rsidR="00143DA6" w:rsidRPr="002F78A0">
        <w:rPr>
          <w:rFonts w:eastAsia="Times New Roman"/>
          <w:kern w:val="0"/>
          <w:lang w:eastAsia="pl-PL"/>
        </w:rPr>
        <w:t>bezterminowo</w:t>
      </w:r>
      <w:r w:rsidRPr="002F78A0">
        <w:rPr>
          <w:rFonts w:eastAsia="Times New Roman"/>
          <w:kern w:val="0"/>
          <w:lang w:eastAsia="pl-PL"/>
        </w:rPr>
        <w:t>.</w:t>
      </w:r>
    </w:p>
    <w:p w14:paraId="45859483" w14:textId="77777777" w:rsidR="00385019" w:rsidRPr="002F78A0" w:rsidRDefault="00385019" w:rsidP="001D487A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309F37F0" w14:textId="77777777" w:rsidR="00AF2B2A" w:rsidRPr="002F78A0" w:rsidRDefault="00AF2B2A" w:rsidP="001D487A">
      <w:pPr>
        <w:tabs>
          <w:tab w:val="left" w:pos="4320"/>
          <w:tab w:val="left" w:pos="7380"/>
        </w:tabs>
        <w:spacing w:line="360" w:lineRule="auto"/>
      </w:pPr>
      <w:r w:rsidRPr="002F78A0">
        <w:t>Data wystawienia Oświadczenia …………… 20</w:t>
      </w:r>
      <w:r w:rsidR="00EA2BF0" w:rsidRPr="002F78A0">
        <w:t>21</w:t>
      </w:r>
      <w:r w:rsidRPr="002F78A0">
        <w:t xml:space="preserve"> r.</w:t>
      </w:r>
    </w:p>
    <w:p w14:paraId="6731BD90" w14:textId="6B1CB4D8" w:rsidR="00385019" w:rsidRPr="002F78A0" w:rsidRDefault="00AF2B2A" w:rsidP="001D487A">
      <w:pPr>
        <w:spacing w:after="0" w:line="360" w:lineRule="auto"/>
        <w:ind w:left="5529"/>
        <w:jc w:val="center"/>
        <w:rPr>
          <w:rFonts w:eastAsia="Times New Roman"/>
        </w:rPr>
      </w:pPr>
      <w:r w:rsidRPr="002F78A0">
        <w:t xml:space="preserve">Elektroniczny podpis osoby </w:t>
      </w:r>
      <w:r w:rsidR="005D24A4">
        <w:t>należycie upoważnionej do reprezentowania Oferenta</w:t>
      </w:r>
    </w:p>
    <w:p w14:paraId="7A42332C" w14:textId="77777777" w:rsidR="00385019" w:rsidRPr="002F78A0" w:rsidRDefault="00385019" w:rsidP="001D487A">
      <w:pPr>
        <w:spacing w:after="0" w:line="360" w:lineRule="auto"/>
        <w:jc w:val="both"/>
        <w:rPr>
          <w:rFonts w:eastAsia="Tahoma"/>
          <w:u w:val="single"/>
        </w:rPr>
      </w:pPr>
      <w:r w:rsidRPr="002F78A0">
        <w:rPr>
          <w:rFonts w:eastAsia="Tahoma"/>
          <w:u w:val="single"/>
        </w:rPr>
        <w:t>Załączniki:</w:t>
      </w:r>
    </w:p>
    <w:p w14:paraId="58B21479" w14:textId="77777777" w:rsidR="00385019" w:rsidRPr="002F78A0" w:rsidRDefault="00385019" w:rsidP="001D487A">
      <w:pPr>
        <w:spacing w:after="0" w:line="360" w:lineRule="auto"/>
        <w:jc w:val="both"/>
        <w:rPr>
          <w:rFonts w:eastAsia="Tahoma"/>
        </w:rPr>
      </w:pPr>
      <w:r w:rsidRPr="002F78A0">
        <w:rPr>
          <w:rFonts w:eastAsia="Tahoma"/>
        </w:rPr>
        <w:t xml:space="preserve">1. </w:t>
      </w:r>
      <w:r w:rsidRPr="002F78A0">
        <w:t>pełnomocnictwo uprawniające osobę podpisującą Oświadczenia</w:t>
      </w:r>
    </w:p>
    <w:p w14:paraId="16305333" w14:textId="0EDB42FE" w:rsidR="001974B7" w:rsidRPr="00283350" w:rsidRDefault="00385019" w:rsidP="00283350">
      <w:pPr>
        <w:spacing w:after="0" w:line="360" w:lineRule="auto"/>
        <w:jc w:val="both"/>
        <w:rPr>
          <w:rFonts w:eastAsia="Times New Roman"/>
        </w:rPr>
      </w:pPr>
      <w:r w:rsidRPr="002F78A0">
        <w:rPr>
          <w:rFonts w:eastAsia="Tahoma"/>
        </w:rPr>
        <w:t xml:space="preserve">2. </w:t>
      </w:r>
      <w:r w:rsidRPr="002F78A0">
        <w:t>odpis KRS, nie starszy niż 7 dni od terminu złożenia Oświadczenia</w:t>
      </w:r>
    </w:p>
    <w:sectPr w:rsidR="001974B7" w:rsidRPr="00283350" w:rsidSect="00D137C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49" w:right="1417" w:bottom="1417" w:left="1417" w:header="567" w:footer="1023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C049" w14:textId="77777777" w:rsidR="00BC0BDD" w:rsidRDefault="00BC0BDD" w:rsidP="005E13DC">
      <w:pPr>
        <w:spacing w:after="0" w:line="240" w:lineRule="auto"/>
      </w:pPr>
      <w:r>
        <w:separator/>
      </w:r>
    </w:p>
  </w:endnote>
  <w:endnote w:type="continuationSeparator" w:id="0">
    <w:p w14:paraId="43F18A49" w14:textId="77777777" w:rsidR="00BC0BDD" w:rsidRDefault="00BC0BDD" w:rsidP="005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E717" w14:textId="77777777" w:rsidR="007D54E8" w:rsidRPr="00F81EF0" w:rsidRDefault="00385019">
    <w:pPr>
      <w:pStyle w:val="Stopka"/>
      <w:jc w:val="right"/>
      <w:rPr>
        <w:rFonts w:ascii="Tahoma" w:hAnsi="Tahoma" w:cs="Tahoma"/>
        <w:i/>
        <w:color w:val="1F497D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hAnsi="Tahoma" w:cs="Tahoma"/>
        <w:sz w:val="18"/>
        <w:szCs w:val="18"/>
      </w:rPr>
      <w:tab/>
    </w:r>
    <w:r w:rsidRPr="00F81EF0">
      <w:rPr>
        <w:rFonts w:ascii="Tahoma" w:hAnsi="Tahoma" w:cs="Tahoma"/>
        <w:sz w:val="18"/>
        <w:szCs w:val="18"/>
      </w:rPr>
      <w:t xml:space="preserve">Strona </w:t>
    </w:r>
    <w:r w:rsidR="00D92330" w:rsidRPr="00F81EF0">
      <w:rPr>
        <w:rFonts w:ascii="Tahoma" w:hAnsi="Tahoma" w:cs="Tahoma"/>
        <w:sz w:val="18"/>
        <w:szCs w:val="18"/>
      </w:rPr>
      <w:fldChar w:fldCharType="begin"/>
    </w:r>
    <w:r w:rsidRPr="00F81EF0">
      <w:rPr>
        <w:rFonts w:ascii="Tahoma" w:hAnsi="Tahoma" w:cs="Tahoma"/>
        <w:sz w:val="18"/>
        <w:szCs w:val="18"/>
      </w:rPr>
      <w:instrText xml:space="preserve"> PAGE </w:instrText>
    </w:r>
    <w:r w:rsidR="00D92330" w:rsidRPr="00F81EF0">
      <w:rPr>
        <w:rFonts w:ascii="Tahoma" w:hAnsi="Tahoma" w:cs="Tahoma"/>
        <w:sz w:val="18"/>
        <w:szCs w:val="18"/>
      </w:rPr>
      <w:fldChar w:fldCharType="separate"/>
    </w:r>
    <w:r w:rsidR="00E341B6">
      <w:rPr>
        <w:rFonts w:ascii="Tahoma" w:hAnsi="Tahoma" w:cs="Tahoma"/>
        <w:noProof/>
        <w:sz w:val="18"/>
        <w:szCs w:val="18"/>
      </w:rPr>
      <w:t>1</w:t>
    </w:r>
    <w:r w:rsidR="00D92330" w:rsidRPr="00F81EF0">
      <w:rPr>
        <w:rFonts w:ascii="Tahoma" w:hAnsi="Tahoma" w:cs="Tahoma"/>
        <w:sz w:val="18"/>
        <w:szCs w:val="18"/>
      </w:rPr>
      <w:fldChar w:fldCharType="end"/>
    </w:r>
    <w:r w:rsidRPr="00F81EF0">
      <w:rPr>
        <w:rFonts w:ascii="Tahoma" w:hAnsi="Tahoma" w:cs="Tahoma"/>
        <w:sz w:val="18"/>
        <w:szCs w:val="18"/>
      </w:rPr>
      <w:t xml:space="preserve"> z </w:t>
    </w:r>
    <w:r w:rsidR="00D92330" w:rsidRPr="00F81EF0">
      <w:rPr>
        <w:rFonts w:ascii="Tahoma" w:hAnsi="Tahoma" w:cs="Tahoma"/>
        <w:sz w:val="18"/>
        <w:szCs w:val="18"/>
      </w:rPr>
      <w:fldChar w:fldCharType="begin"/>
    </w:r>
    <w:r w:rsidRPr="00F81EF0">
      <w:rPr>
        <w:rFonts w:ascii="Tahoma" w:hAnsi="Tahoma" w:cs="Tahoma"/>
        <w:sz w:val="18"/>
        <w:szCs w:val="18"/>
      </w:rPr>
      <w:instrText xml:space="preserve"> NUMPAGES \* ARABIC </w:instrText>
    </w:r>
    <w:r w:rsidR="00D92330" w:rsidRPr="00F81EF0">
      <w:rPr>
        <w:rFonts w:ascii="Tahoma" w:hAnsi="Tahoma" w:cs="Tahoma"/>
        <w:sz w:val="18"/>
        <w:szCs w:val="18"/>
      </w:rPr>
      <w:fldChar w:fldCharType="separate"/>
    </w:r>
    <w:r w:rsidR="00E341B6">
      <w:rPr>
        <w:rFonts w:ascii="Tahoma" w:hAnsi="Tahoma" w:cs="Tahoma"/>
        <w:noProof/>
        <w:sz w:val="18"/>
        <w:szCs w:val="18"/>
      </w:rPr>
      <w:t>4</w:t>
    </w:r>
    <w:r w:rsidR="00D92330" w:rsidRPr="00F81EF0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9DE6" w14:textId="77777777" w:rsidR="007D54E8" w:rsidRDefault="00385019">
    <w:pPr>
      <w:pStyle w:val="Stopka"/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>P R O J E K T   M T R</w:t>
    </w:r>
  </w:p>
  <w:p w14:paraId="6A445F1D" w14:textId="77777777" w:rsidR="007D54E8" w:rsidRDefault="00BC0BDD">
    <w:pPr>
      <w:pStyle w:val="Stopka"/>
      <w:rPr>
        <w:rFonts w:ascii="Tahoma" w:hAnsi="Tahoma" w:cs="Tahoma"/>
        <w:i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2272" w14:textId="77777777" w:rsidR="00BC0BDD" w:rsidRDefault="00BC0BDD" w:rsidP="005E13DC">
      <w:pPr>
        <w:spacing w:after="0" w:line="240" w:lineRule="auto"/>
      </w:pPr>
      <w:r>
        <w:separator/>
      </w:r>
    </w:p>
  </w:footnote>
  <w:footnote w:type="continuationSeparator" w:id="0">
    <w:p w14:paraId="6484621B" w14:textId="77777777" w:rsidR="00BC0BDD" w:rsidRDefault="00BC0BDD" w:rsidP="005E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C6D" w14:textId="77777777" w:rsidR="00025036" w:rsidRDefault="004F51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0A85" w14:textId="77777777" w:rsidR="007D54E8" w:rsidRDefault="00214F5E">
    <w:pPr>
      <w:pStyle w:val="Nagwek"/>
      <w:jc w:val="center"/>
    </w:pPr>
    <w:r>
      <w:rPr>
        <w:rFonts w:eastAsia="Tahoma"/>
        <w:noProof/>
        <w:lang w:eastAsia="pl-PL"/>
      </w:rPr>
      <w:drawing>
        <wp:anchor distT="0" distB="0" distL="114935" distR="114935" simplePos="0" relativeHeight="251661312" behindDoc="0" locked="0" layoutInCell="1" allowOverlap="1" wp14:anchorId="5D28A458" wp14:editId="7B35BE66">
          <wp:simplePos x="0" y="0"/>
          <wp:positionH relativeFrom="column">
            <wp:posOffset>-397510</wp:posOffset>
          </wp:positionH>
          <wp:positionV relativeFrom="paragraph">
            <wp:posOffset>93345</wp:posOffset>
          </wp:positionV>
          <wp:extent cx="2361565" cy="6464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46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85019">
      <w:rPr>
        <w:rFonts w:eastAsia="Tahoma"/>
      </w:rPr>
      <w:t xml:space="preserve"> </w:t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57D6479D" wp14:editId="528635EA">
          <wp:simplePos x="0" y="0"/>
          <wp:positionH relativeFrom="margin">
            <wp:posOffset>1565910</wp:posOffset>
          </wp:positionH>
          <wp:positionV relativeFrom="margin">
            <wp:posOffset>3609975</wp:posOffset>
          </wp:positionV>
          <wp:extent cx="2933065" cy="17672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1767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85019">
      <w:rPr>
        <w:rFonts w:eastAsia="Tahoma"/>
      </w:rPr>
      <w:cr/>
    </w:r>
    <w:r w:rsidR="0038501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48451F7"/>
    <w:multiLevelType w:val="hybridMultilevel"/>
    <w:tmpl w:val="8E8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3313"/>
    <w:multiLevelType w:val="hybridMultilevel"/>
    <w:tmpl w:val="2BD4BDA8"/>
    <w:lvl w:ilvl="0" w:tplc="04150011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19"/>
    <w:rsid w:val="00017F22"/>
    <w:rsid w:val="00025036"/>
    <w:rsid w:val="00036762"/>
    <w:rsid w:val="000F4445"/>
    <w:rsid w:val="00105519"/>
    <w:rsid w:val="00143DA6"/>
    <w:rsid w:val="001974B7"/>
    <w:rsid w:val="001D487A"/>
    <w:rsid w:val="00214F5E"/>
    <w:rsid w:val="0023297A"/>
    <w:rsid w:val="00244708"/>
    <w:rsid w:val="00283350"/>
    <w:rsid w:val="002F78A0"/>
    <w:rsid w:val="00385019"/>
    <w:rsid w:val="003A5274"/>
    <w:rsid w:val="004F51A8"/>
    <w:rsid w:val="0051226F"/>
    <w:rsid w:val="005D24A4"/>
    <w:rsid w:val="005E13DC"/>
    <w:rsid w:val="006265CB"/>
    <w:rsid w:val="00750951"/>
    <w:rsid w:val="007748C6"/>
    <w:rsid w:val="007B1FD2"/>
    <w:rsid w:val="007B3147"/>
    <w:rsid w:val="007E4CD8"/>
    <w:rsid w:val="008E57FD"/>
    <w:rsid w:val="00AF2B2A"/>
    <w:rsid w:val="00B81585"/>
    <w:rsid w:val="00B94052"/>
    <w:rsid w:val="00BC0BDD"/>
    <w:rsid w:val="00C1113B"/>
    <w:rsid w:val="00D83DE7"/>
    <w:rsid w:val="00D92330"/>
    <w:rsid w:val="00DA7C88"/>
    <w:rsid w:val="00DB7CC9"/>
    <w:rsid w:val="00E341B6"/>
    <w:rsid w:val="00E352B9"/>
    <w:rsid w:val="00EA2BF0"/>
    <w:rsid w:val="00EE64A2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CCD1A"/>
  <w15:docId w15:val="{48486DCD-6717-493F-AF27-A8F664E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19"/>
    <w:pPr>
      <w:suppressAutoHyphens/>
    </w:pPr>
    <w:rPr>
      <w:rFonts w:ascii="Tahoma" w:eastAsia="Calibri" w:hAnsi="Tahoma" w:cs="Tahom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85019"/>
    <w:pPr>
      <w:suppressLineNumbers/>
      <w:tabs>
        <w:tab w:val="center" w:pos="4536"/>
        <w:tab w:val="right" w:pos="9072"/>
      </w:tabs>
      <w:spacing w:after="0" w:line="100" w:lineRule="atLeast"/>
      <w:jc w:val="both"/>
    </w:pPr>
    <w:rPr>
      <w:rFonts w:ascii="Garamond" w:eastAsia="Times New Roman" w:hAnsi="Garamond" w:cs="Garamond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5019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38501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385019"/>
    <w:rPr>
      <w:rFonts w:ascii="Tahoma" w:eastAsia="Calibri" w:hAnsi="Tahoma" w:cs="Tahom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B2A"/>
    <w:rPr>
      <w:rFonts w:ascii="Tahoma" w:eastAsia="Calibri" w:hAnsi="Tahoma" w:cs="Tahom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B2A"/>
    <w:rPr>
      <w:rFonts w:ascii="Tahoma" w:eastAsia="Calibri" w:hAnsi="Tahoma" w:cs="Tahoma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2A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2A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Ludkiewicz</dc:creator>
  <cp:keywords/>
  <dc:description/>
  <cp:lastModifiedBy>Slawomir Ludkiewicz</cp:lastModifiedBy>
  <cp:revision>9</cp:revision>
  <dcterms:created xsi:type="dcterms:W3CDTF">2021-07-13T12:28:00Z</dcterms:created>
  <dcterms:modified xsi:type="dcterms:W3CDTF">2021-12-09T17:04:00Z</dcterms:modified>
</cp:coreProperties>
</file>